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7" w:rsidRDefault="00410BF7" w:rsidP="00410BF7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410BF7">
        <w:rPr>
          <w:rFonts w:ascii="黑体" w:eastAsia="黑体" w:hAnsi="黑体" w:hint="eastAsia"/>
          <w:b/>
          <w:color w:val="000000"/>
          <w:sz w:val="32"/>
          <w:szCs w:val="32"/>
        </w:rPr>
        <w:t>2023</w:t>
      </w:r>
      <w:r w:rsidR="005B22A9">
        <w:rPr>
          <w:rFonts w:ascii="黑体" w:eastAsia="黑体" w:hAnsi="黑体" w:hint="eastAsia"/>
          <w:b/>
          <w:color w:val="000000"/>
          <w:sz w:val="32"/>
          <w:szCs w:val="32"/>
        </w:rPr>
        <w:t>年第三</w:t>
      </w:r>
      <w:r w:rsidRPr="00410BF7">
        <w:rPr>
          <w:rFonts w:ascii="黑体" w:eastAsia="黑体" w:hAnsi="黑体" w:hint="eastAsia"/>
          <w:b/>
          <w:color w:val="000000"/>
          <w:sz w:val="32"/>
          <w:szCs w:val="32"/>
        </w:rPr>
        <w:t>季度</w:t>
      </w:r>
      <w:r w:rsidR="00471232">
        <w:rPr>
          <w:rFonts w:ascii="黑体" w:eastAsia="黑体" w:hAnsi="黑体" w:hint="eastAsia"/>
          <w:b/>
          <w:color w:val="000000"/>
          <w:sz w:val="32"/>
          <w:szCs w:val="32"/>
        </w:rPr>
        <w:t>巨野县</w:t>
      </w:r>
      <w:r w:rsidRPr="00410BF7">
        <w:rPr>
          <w:rFonts w:ascii="黑体" w:eastAsia="黑体" w:hAnsi="黑体" w:hint="eastAsia"/>
          <w:b/>
          <w:color w:val="000000"/>
          <w:sz w:val="32"/>
          <w:szCs w:val="32"/>
        </w:rPr>
        <w:t>直达资金管理使用情况的报告</w:t>
      </w:r>
    </w:p>
    <w:p w:rsidR="00410BF7" w:rsidRPr="00471232" w:rsidRDefault="00410BF7" w:rsidP="00410BF7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p w:rsidR="00C26862" w:rsidRDefault="00C50E32" w:rsidP="00410BF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97146">
        <w:rPr>
          <w:rFonts w:ascii="仿宋_GB2312" w:eastAsia="仿宋_GB2312"/>
          <w:color w:val="000000"/>
          <w:sz w:val="32"/>
        </w:rPr>
        <w:t>为全面贯彻落实好党中央国务院决策部署，确保资金直达基层惠企利民，切实做好</w:t>
      </w:r>
      <w:r w:rsidRPr="00997146">
        <w:rPr>
          <w:rFonts w:ascii="仿宋_GB2312" w:eastAsia="仿宋_GB2312"/>
          <w:color w:val="000000"/>
          <w:sz w:val="32"/>
        </w:rPr>
        <w:t>“</w:t>
      </w:r>
      <w:r w:rsidRPr="00997146">
        <w:rPr>
          <w:rFonts w:ascii="仿宋_GB2312" w:eastAsia="仿宋_GB2312"/>
          <w:color w:val="000000"/>
          <w:sz w:val="32"/>
        </w:rPr>
        <w:t>六稳</w:t>
      </w:r>
      <w:r w:rsidRPr="00997146">
        <w:rPr>
          <w:rFonts w:ascii="仿宋_GB2312" w:eastAsia="仿宋_GB2312"/>
          <w:color w:val="000000"/>
          <w:sz w:val="32"/>
        </w:rPr>
        <w:t>”</w:t>
      </w:r>
      <w:r w:rsidRPr="00997146">
        <w:rPr>
          <w:rFonts w:ascii="仿宋_GB2312" w:eastAsia="仿宋_GB2312"/>
          <w:color w:val="000000"/>
          <w:sz w:val="32"/>
        </w:rPr>
        <w:t>工作、落实</w:t>
      </w:r>
      <w:r w:rsidRPr="00997146">
        <w:rPr>
          <w:rFonts w:ascii="仿宋_GB2312" w:eastAsia="仿宋_GB2312"/>
          <w:color w:val="000000"/>
          <w:sz w:val="32"/>
        </w:rPr>
        <w:t>“</w:t>
      </w:r>
      <w:r w:rsidRPr="00997146">
        <w:rPr>
          <w:rFonts w:ascii="仿宋_GB2312" w:eastAsia="仿宋_GB2312"/>
          <w:color w:val="000000"/>
          <w:sz w:val="32"/>
        </w:rPr>
        <w:t>六保</w:t>
      </w:r>
      <w:r w:rsidRPr="00997146">
        <w:rPr>
          <w:rFonts w:ascii="仿宋_GB2312" w:eastAsia="仿宋_GB2312"/>
          <w:color w:val="000000"/>
          <w:sz w:val="32"/>
        </w:rPr>
        <w:t>”</w:t>
      </w:r>
      <w:r w:rsidRPr="00997146">
        <w:rPr>
          <w:rFonts w:ascii="仿宋_GB2312" w:eastAsia="仿宋_GB2312"/>
          <w:color w:val="000000"/>
          <w:sz w:val="32"/>
        </w:rPr>
        <w:t>任务，兜牢基层</w:t>
      </w:r>
      <w:r w:rsidRPr="00997146">
        <w:rPr>
          <w:rFonts w:ascii="仿宋_GB2312" w:eastAsia="仿宋_GB2312"/>
          <w:color w:val="000000"/>
          <w:sz w:val="32"/>
        </w:rPr>
        <w:t>“</w:t>
      </w:r>
      <w:r w:rsidRPr="00997146">
        <w:rPr>
          <w:rFonts w:ascii="仿宋_GB2312" w:eastAsia="仿宋_GB2312"/>
          <w:color w:val="000000"/>
          <w:sz w:val="32"/>
        </w:rPr>
        <w:t>三保</w:t>
      </w:r>
      <w:r w:rsidRPr="00997146">
        <w:rPr>
          <w:rFonts w:ascii="仿宋_GB2312" w:eastAsia="仿宋_GB2312"/>
          <w:color w:val="000000"/>
          <w:sz w:val="32"/>
        </w:rPr>
        <w:t>”</w:t>
      </w:r>
      <w:r w:rsidRPr="00997146">
        <w:rPr>
          <w:rFonts w:ascii="仿宋_GB2312" w:eastAsia="仿宋_GB2312"/>
          <w:color w:val="000000"/>
          <w:sz w:val="32"/>
        </w:rPr>
        <w:t>底线，根据</w:t>
      </w:r>
      <w:r>
        <w:rPr>
          <w:rFonts w:ascii="仿宋_GB2312" w:eastAsia="仿宋_GB2312" w:hint="eastAsia"/>
          <w:color w:val="000000"/>
          <w:sz w:val="32"/>
        </w:rPr>
        <w:t>《中央财政实行特殊转移支付机制资金监督管理办法》有关规定及</w:t>
      </w:r>
      <w:r w:rsidRPr="00997146">
        <w:rPr>
          <w:rFonts w:ascii="仿宋_GB2312" w:eastAsia="仿宋_GB2312"/>
          <w:color w:val="000000"/>
          <w:sz w:val="32"/>
        </w:rPr>
        <w:t>山东省直达资金管理会议要求，巨野县</w:t>
      </w:r>
      <w:r w:rsidR="007540DB">
        <w:rPr>
          <w:rFonts w:ascii="仿宋_GB2312" w:eastAsia="仿宋_GB2312"/>
          <w:color w:val="000000"/>
          <w:sz w:val="32"/>
        </w:rPr>
        <w:t>财政局</w:t>
      </w:r>
      <w:r w:rsidRPr="00997146">
        <w:rPr>
          <w:rFonts w:ascii="仿宋_GB2312" w:eastAsia="仿宋_GB2312"/>
          <w:color w:val="000000"/>
          <w:sz w:val="32"/>
        </w:rPr>
        <w:t>积极贯彻落实直达资金的各项管理要求，认真开展资金分配下达、监管、绩效管理等工作。</w:t>
      </w:r>
      <w:r>
        <w:rPr>
          <w:rFonts w:ascii="仿宋_GB2312" w:eastAsia="仿宋_GB2312"/>
          <w:color w:val="000000"/>
          <w:sz w:val="32"/>
        </w:rPr>
        <w:t>在工作</w:t>
      </w:r>
      <w:r>
        <w:rPr>
          <w:rFonts w:ascii="仿宋_GB2312" w:eastAsia="仿宋_GB2312" w:hAnsi="黑体" w:hint="eastAsia"/>
          <w:sz w:val="32"/>
          <w:szCs w:val="32"/>
        </w:rPr>
        <w:t>推进中坚持“用”、“管”并重，确保直达资金惠企利民，突出直达资金的直达性、精准性、规范性。</w:t>
      </w:r>
    </w:p>
    <w:p w:rsidR="005B22A9" w:rsidRPr="008554C2" w:rsidRDefault="005B22A9" w:rsidP="005B22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54C2">
        <w:rPr>
          <w:rFonts w:ascii="仿宋_GB2312" w:eastAsia="仿宋_GB2312" w:hAnsi="宋体"/>
          <w:color w:val="000000"/>
          <w:sz w:val="32"/>
          <w:szCs w:val="32"/>
        </w:rPr>
        <w:t>截止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9月底</w:t>
      </w:r>
      <w:r w:rsidRPr="008554C2">
        <w:rPr>
          <w:rFonts w:ascii="仿宋_GB2312" w:eastAsia="仿宋_GB2312" w:hAnsi="宋体"/>
          <w:color w:val="000000"/>
          <w:sz w:val="32"/>
          <w:szCs w:val="32"/>
        </w:rPr>
        <w:t>，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共下达</w:t>
      </w:r>
      <w:r>
        <w:rPr>
          <w:rFonts w:ascii="仿宋_GB2312" w:eastAsia="仿宋_GB2312" w:hAnsi="宋体"/>
          <w:color w:val="000000"/>
          <w:sz w:val="32"/>
          <w:szCs w:val="32"/>
        </w:rPr>
        <w:t>直达资金</w:t>
      </w:r>
      <w:r w:rsidRPr="00787B86">
        <w:rPr>
          <w:rFonts w:ascii="仿宋_GB2312" w:eastAsia="仿宋_GB2312" w:hAnsi="宋体"/>
          <w:color w:val="000000"/>
          <w:sz w:val="32"/>
          <w:szCs w:val="32"/>
        </w:rPr>
        <w:t>181,188.16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</w:t>
      </w:r>
      <w:r>
        <w:rPr>
          <w:rFonts w:ascii="仿宋_GB2312" w:eastAsia="仿宋_GB2312" w:hAnsi="宋体"/>
          <w:color w:val="000000"/>
          <w:sz w:val="32"/>
          <w:szCs w:val="32"/>
        </w:rPr>
        <w:t>元，</w:t>
      </w:r>
      <w:r w:rsidRPr="008554C2">
        <w:rPr>
          <w:rFonts w:ascii="仿宋_GB2312" w:eastAsia="仿宋_GB2312" w:hAnsi="宋体"/>
          <w:color w:val="000000"/>
          <w:sz w:val="32"/>
          <w:szCs w:val="32"/>
        </w:rPr>
        <w:t>已分配下达</w:t>
      </w:r>
      <w:r w:rsidRPr="00787B86">
        <w:rPr>
          <w:rFonts w:ascii="仿宋_GB2312" w:eastAsia="仿宋_GB2312" w:hAnsi="宋体"/>
          <w:color w:val="000000"/>
          <w:sz w:val="32"/>
          <w:szCs w:val="32"/>
        </w:rPr>
        <w:t>181,188.16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元，分配进度100%。其中中央</w:t>
      </w:r>
      <w:proofErr w:type="gramStart"/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级资金</w:t>
      </w:r>
      <w:proofErr w:type="gramEnd"/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安排</w:t>
      </w:r>
      <w:r w:rsidRPr="00787B86">
        <w:rPr>
          <w:rFonts w:ascii="仿宋_GB2312" w:eastAsia="仿宋_GB2312" w:hAnsi="宋体"/>
          <w:color w:val="000000"/>
          <w:sz w:val="32"/>
          <w:szCs w:val="32"/>
        </w:rPr>
        <w:t>136,078.16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元，截至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9月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底已支付</w:t>
      </w:r>
      <w:r w:rsidRPr="00787B86">
        <w:rPr>
          <w:rFonts w:ascii="仿宋_GB2312" w:eastAsia="仿宋_GB2312" w:hAnsi="宋体"/>
          <w:color w:val="000000"/>
          <w:sz w:val="32"/>
          <w:szCs w:val="32"/>
        </w:rPr>
        <w:t>126,804.60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元，支付</w:t>
      </w:r>
      <w:r w:rsidRPr="008554C2">
        <w:rPr>
          <w:rFonts w:ascii="仿宋_GB2312" w:eastAsia="仿宋_GB2312" w:hAnsi="宋体"/>
          <w:color w:val="000000"/>
          <w:sz w:val="32"/>
          <w:szCs w:val="32"/>
        </w:rPr>
        <w:t>进度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93.2</w:t>
      </w:r>
      <w:r w:rsidRPr="008554C2">
        <w:rPr>
          <w:rFonts w:ascii="仿宋_GB2312" w:eastAsia="仿宋_GB2312" w:hAnsi="宋体"/>
          <w:color w:val="000000"/>
          <w:sz w:val="32"/>
          <w:szCs w:val="32"/>
        </w:rPr>
        <w:t>%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。直达资金总体共支付</w:t>
      </w:r>
      <w:bookmarkStart w:id="0" w:name="_GoBack"/>
      <w:r w:rsidRPr="008149DC">
        <w:rPr>
          <w:rFonts w:ascii="仿宋_GB2312" w:eastAsia="仿宋_GB2312" w:hAnsi="宋体"/>
          <w:color w:val="000000"/>
          <w:sz w:val="32"/>
          <w:szCs w:val="32"/>
        </w:rPr>
        <w:t>137,437.87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万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元，支付进度为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75.9</w:t>
      </w:r>
      <w:r w:rsidRPr="008554C2">
        <w:rPr>
          <w:rFonts w:ascii="仿宋_GB2312" w:eastAsia="仿宋_GB2312" w:hAnsi="宋体" w:hint="eastAsia"/>
          <w:color w:val="000000"/>
          <w:sz w:val="32"/>
          <w:szCs w:val="32"/>
        </w:rPr>
        <w:t>%；</w:t>
      </w:r>
      <w:r w:rsidRPr="008554C2">
        <w:rPr>
          <w:rFonts w:ascii="仿宋_GB2312" w:eastAsia="仿宋_GB2312" w:hint="eastAsia"/>
          <w:sz w:val="32"/>
          <w:szCs w:val="32"/>
        </w:rPr>
        <w:t>已支出资金均已导入惠企利民发放明细，预警信息和不规范数据已及时进行了处理。</w:t>
      </w:r>
    </w:p>
    <w:p w:rsidR="00702680" w:rsidRPr="005B22A9" w:rsidRDefault="00702680" w:rsidP="00702680">
      <w:pPr>
        <w:rPr>
          <w:sz w:val="30"/>
          <w:szCs w:val="30"/>
        </w:rPr>
      </w:pPr>
    </w:p>
    <w:p w:rsidR="00C50E32" w:rsidRPr="00702680" w:rsidRDefault="00C50E32" w:rsidP="00702680"/>
    <w:sectPr w:rsidR="00C50E32" w:rsidRPr="0070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4A" w:rsidRDefault="004D404A" w:rsidP="00C50E32">
      <w:r>
        <w:separator/>
      </w:r>
    </w:p>
  </w:endnote>
  <w:endnote w:type="continuationSeparator" w:id="0">
    <w:p w:rsidR="004D404A" w:rsidRDefault="004D404A" w:rsidP="00C5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4A" w:rsidRDefault="004D404A" w:rsidP="00C50E32">
      <w:r>
        <w:separator/>
      </w:r>
    </w:p>
  </w:footnote>
  <w:footnote w:type="continuationSeparator" w:id="0">
    <w:p w:rsidR="004D404A" w:rsidRDefault="004D404A" w:rsidP="00C5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9A"/>
    <w:rsid w:val="002419A0"/>
    <w:rsid w:val="002B1BFE"/>
    <w:rsid w:val="00410BF7"/>
    <w:rsid w:val="00471232"/>
    <w:rsid w:val="004C097F"/>
    <w:rsid w:val="004D404A"/>
    <w:rsid w:val="005B22A9"/>
    <w:rsid w:val="00602E31"/>
    <w:rsid w:val="00627133"/>
    <w:rsid w:val="00702680"/>
    <w:rsid w:val="007540DB"/>
    <w:rsid w:val="008149DC"/>
    <w:rsid w:val="00894D9A"/>
    <w:rsid w:val="00B66852"/>
    <w:rsid w:val="00C26862"/>
    <w:rsid w:val="00C50E32"/>
    <w:rsid w:val="00DD301B"/>
    <w:rsid w:val="00E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2023-10-08T10:24:00Z</dcterms:created>
  <dcterms:modified xsi:type="dcterms:W3CDTF">2023-10-08T10:25:00Z</dcterms:modified>
</cp:coreProperties>
</file>